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5B" w:rsidRPr="00A45D4E" w:rsidRDefault="00E41C6F" w:rsidP="00A45D4E">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農業の有する多面的機能の発揮の促進に関する計画</w:t>
      </w:r>
    </w:p>
    <w:p w:rsidR="00FC2977" w:rsidRDefault="00FC2977">
      <w:pPr>
        <w:rPr>
          <w:sz w:val="24"/>
          <w:szCs w:val="24"/>
        </w:rPr>
      </w:pPr>
    </w:p>
    <w:p w:rsidR="00FC2977" w:rsidRDefault="00E41C6F">
      <w:pPr>
        <w:rPr>
          <w:sz w:val="24"/>
          <w:szCs w:val="24"/>
        </w:rPr>
      </w:pPr>
      <w:r>
        <w:rPr>
          <w:rFonts w:hint="eastAsia"/>
          <w:sz w:val="24"/>
          <w:szCs w:val="24"/>
        </w:rPr>
        <w:t xml:space="preserve">　　　　　　　　　　　　　　　　　　　　　　　　　　　</w:t>
      </w:r>
      <w:r w:rsidR="00A45D4E">
        <w:rPr>
          <w:rFonts w:hint="eastAsia"/>
          <w:sz w:val="24"/>
          <w:szCs w:val="24"/>
        </w:rPr>
        <w:t xml:space="preserve">　　　</w:t>
      </w:r>
      <w:r>
        <w:rPr>
          <w:rFonts w:hint="eastAsia"/>
          <w:sz w:val="24"/>
          <w:szCs w:val="24"/>
        </w:rPr>
        <w:t>川</w:t>
      </w:r>
      <w:r w:rsidR="00A45D4E">
        <w:rPr>
          <w:rFonts w:hint="eastAsia"/>
          <w:sz w:val="24"/>
          <w:szCs w:val="24"/>
        </w:rPr>
        <w:t xml:space="preserve">　</w:t>
      </w:r>
      <w:r>
        <w:rPr>
          <w:rFonts w:hint="eastAsia"/>
          <w:sz w:val="24"/>
          <w:szCs w:val="24"/>
        </w:rPr>
        <w:t>島</w:t>
      </w:r>
      <w:r w:rsidR="00A45D4E">
        <w:rPr>
          <w:rFonts w:hint="eastAsia"/>
          <w:sz w:val="24"/>
          <w:szCs w:val="24"/>
        </w:rPr>
        <w:t xml:space="preserve">　</w:t>
      </w:r>
      <w:r>
        <w:rPr>
          <w:rFonts w:hint="eastAsia"/>
          <w:sz w:val="24"/>
          <w:szCs w:val="24"/>
        </w:rPr>
        <w:t>町</w:t>
      </w:r>
    </w:p>
    <w:p w:rsidR="00F44D14" w:rsidRPr="00F44D14" w:rsidRDefault="00F44D14">
      <w:pPr>
        <w:rPr>
          <w:sz w:val="24"/>
          <w:szCs w:val="24"/>
        </w:rPr>
      </w:pPr>
    </w:p>
    <w:p w:rsidR="00FC2977" w:rsidRPr="00B2522D" w:rsidRDefault="00E41C6F">
      <w:pPr>
        <w:rPr>
          <w:rFonts w:asciiTheme="majorEastAsia" w:eastAsiaTheme="majorEastAsia" w:hAnsiTheme="majorEastAsia"/>
          <w:b/>
          <w:sz w:val="24"/>
          <w:szCs w:val="24"/>
          <w:u w:val="single"/>
        </w:rPr>
      </w:pPr>
      <w:r w:rsidRPr="00B2522D">
        <w:rPr>
          <w:rFonts w:asciiTheme="majorEastAsia" w:eastAsiaTheme="majorEastAsia" w:hAnsiTheme="majorEastAsia" w:hint="eastAsia"/>
          <w:b/>
          <w:sz w:val="24"/>
          <w:szCs w:val="24"/>
          <w:u w:val="single"/>
        </w:rPr>
        <w:t>１　促進計画の区域</w:t>
      </w:r>
    </w:p>
    <w:p w:rsidR="00FC2977" w:rsidRDefault="00FC2977">
      <w:pPr>
        <w:rPr>
          <w:sz w:val="24"/>
          <w:szCs w:val="24"/>
        </w:rPr>
      </w:pPr>
    </w:p>
    <w:p w:rsidR="00FC2977" w:rsidRDefault="00E41C6F">
      <w:pPr>
        <w:rPr>
          <w:sz w:val="24"/>
          <w:szCs w:val="24"/>
        </w:rPr>
      </w:pPr>
      <w:r>
        <w:rPr>
          <w:rFonts w:hint="eastAsia"/>
          <w:sz w:val="24"/>
          <w:szCs w:val="24"/>
        </w:rPr>
        <w:t xml:space="preserve">　　別紙地図に記載のとおりとする。</w:t>
      </w:r>
    </w:p>
    <w:p w:rsidR="00FC2977" w:rsidRDefault="00FC2977">
      <w:pPr>
        <w:rPr>
          <w:sz w:val="24"/>
          <w:szCs w:val="24"/>
        </w:rPr>
      </w:pPr>
    </w:p>
    <w:p w:rsidR="00FC2977" w:rsidRPr="00B2522D" w:rsidRDefault="00E41C6F">
      <w:pPr>
        <w:rPr>
          <w:rFonts w:asciiTheme="majorEastAsia" w:eastAsiaTheme="majorEastAsia" w:hAnsiTheme="majorEastAsia"/>
          <w:b/>
          <w:sz w:val="24"/>
          <w:szCs w:val="24"/>
          <w:u w:val="single"/>
        </w:rPr>
      </w:pPr>
      <w:r w:rsidRPr="00B2522D">
        <w:rPr>
          <w:rFonts w:asciiTheme="majorEastAsia" w:eastAsiaTheme="majorEastAsia" w:hAnsiTheme="majorEastAsia" w:hint="eastAsia"/>
          <w:b/>
          <w:sz w:val="24"/>
          <w:szCs w:val="24"/>
          <w:u w:val="single"/>
        </w:rPr>
        <w:t>２　促進計画の目標</w:t>
      </w:r>
    </w:p>
    <w:p w:rsidR="00FC2977" w:rsidRDefault="00FC2977">
      <w:pPr>
        <w:rPr>
          <w:sz w:val="24"/>
          <w:szCs w:val="24"/>
        </w:rPr>
      </w:pPr>
    </w:p>
    <w:p w:rsidR="00EA1FFF" w:rsidRDefault="00E41C6F" w:rsidP="00EA1FFF">
      <w:pPr>
        <w:ind w:firstLineChars="100" w:firstLine="240"/>
        <w:rPr>
          <w:sz w:val="24"/>
          <w:szCs w:val="24"/>
        </w:rPr>
      </w:pPr>
      <w:r>
        <w:rPr>
          <w:rFonts w:hint="eastAsia"/>
          <w:sz w:val="24"/>
          <w:szCs w:val="24"/>
        </w:rPr>
        <w:t>１．</w:t>
      </w:r>
      <w:r w:rsidR="00F44D14">
        <w:rPr>
          <w:rFonts w:hint="eastAsia"/>
          <w:sz w:val="24"/>
          <w:szCs w:val="24"/>
        </w:rPr>
        <w:t>川島</w:t>
      </w:r>
      <w:r w:rsidR="00FC2977" w:rsidRPr="00EA1FFF">
        <w:rPr>
          <w:rFonts w:hint="eastAsia"/>
          <w:sz w:val="24"/>
          <w:szCs w:val="24"/>
        </w:rPr>
        <w:t>地域</w:t>
      </w:r>
    </w:p>
    <w:p w:rsidR="00EA1FFF" w:rsidRDefault="00E41C6F" w:rsidP="00EA1FFF">
      <w:pPr>
        <w:pStyle w:val="a3"/>
        <w:numPr>
          <w:ilvl w:val="0"/>
          <w:numId w:val="3"/>
        </w:numPr>
        <w:ind w:leftChars="0"/>
        <w:rPr>
          <w:sz w:val="24"/>
          <w:szCs w:val="24"/>
        </w:rPr>
      </w:pPr>
      <w:r w:rsidRPr="00EA1FFF">
        <w:rPr>
          <w:rFonts w:hint="eastAsia"/>
          <w:sz w:val="24"/>
          <w:szCs w:val="24"/>
        </w:rPr>
        <w:t>現況</w:t>
      </w:r>
    </w:p>
    <w:p w:rsidR="00EA1FFF" w:rsidRDefault="00E41C6F" w:rsidP="00F44D14">
      <w:pPr>
        <w:ind w:left="1200"/>
        <w:rPr>
          <w:sz w:val="24"/>
          <w:szCs w:val="24"/>
        </w:rPr>
      </w:pPr>
      <w:r>
        <w:rPr>
          <w:rFonts w:hint="eastAsia"/>
          <w:sz w:val="24"/>
          <w:szCs w:val="24"/>
        </w:rPr>
        <w:t>本地域は</w:t>
      </w:r>
      <w:r w:rsidR="0087187F">
        <w:rPr>
          <w:rFonts w:hint="eastAsia"/>
          <w:sz w:val="24"/>
          <w:szCs w:val="24"/>
        </w:rPr>
        <w:t>、</w:t>
      </w:r>
      <w:r w:rsidR="00F44D14">
        <w:rPr>
          <w:rFonts w:hint="eastAsia"/>
          <w:sz w:val="24"/>
          <w:szCs w:val="24"/>
        </w:rPr>
        <w:t>大宮台地と比企丘陵に挟まれた荒川地域の低地に位置し、四方</w:t>
      </w:r>
    </w:p>
    <w:p w:rsidR="00EA1FFF" w:rsidRDefault="00E41C6F" w:rsidP="00F44D14">
      <w:pPr>
        <w:ind w:left="960" w:hangingChars="400" w:hanging="960"/>
        <w:rPr>
          <w:sz w:val="24"/>
          <w:szCs w:val="24"/>
        </w:rPr>
      </w:pPr>
      <w:r>
        <w:rPr>
          <w:rFonts w:hint="eastAsia"/>
          <w:sz w:val="24"/>
          <w:szCs w:val="24"/>
        </w:rPr>
        <w:t xml:space="preserve">　　　　を荒川、市野川、入間川、越辺川に囲まれた輪中を成す、平坦な農業地帯であり、稲作を中心に、いちご、野菜等の栽培が行われているが、従事者の高齢化、後継者不足</w:t>
      </w:r>
      <w:r w:rsidR="0080786E">
        <w:rPr>
          <w:rFonts w:hint="eastAsia"/>
          <w:sz w:val="24"/>
          <w:szCs w:val="24"/>
        </w:rPr>
        <w:t>が営農継続の妨げとなり、地域の営農環境に</w:t>
      </w:r>
      <w:r w:rsidR="00612062">
        <w:rPr>
          <w:rFonts w:hint="eastAsia"/>
          <w:sz w:val="24"/>
          <w:szCs w:val="24"/>
        </w:rPr>
        <w:t>与える</w:t>
      </w:r>
      <w:r w:rsidR="0080786E">
        <w:rPr>
          <w:rFonts w:hint="eastAsia"/>
          <w:sz w:val="24"/>
          <w:szCs w:val="24"/>
        </w:rPr>
        <w:t>影響</w:t>
      </w:r>
      <w:r w:rsidR="00612062">
        <w:rPr>
          <w:rFonts w:hint="eastAsia"/>
          <w:sz w:val="24"/>
          <w:szCs w:val="24"/>
        </w:rPr>
        <w:t>が</w:t>
      </w:r>
      <w:r w:rsidR="0080786E">
        <w:rPr>
          <w:rFonts w:hint="eastAsia"/>
          <w:sz w:val="24"/>
          <w:szCs w:val="24"/>
        </w:rPr>
        <w:t>懸念されている。</w:t>
      </w:r>
    </w:p>
    <w:p w:rsidR="003661EB" w:rsidRDefault="00E41C6F" w:rsidP="003661EB">
      <w:pPr>
        <w:ind w:leftChars="229" w:left="481" w:firstLineChars="200" w:firstLine="480"/>
        <w:rPr>
          <w:sz w:val="24"/>
          <w:szCs w:val="24"/>
        </w:rPr>
      </w:pPr>
      <w:r>
        <w:rPr>
          <w:rFonts w:hint="eastAsia"/>
          <w:sz w:val="24"/>
          <w:szCs w:val="24"/>
        </w:rPr>
        <w:t xml:space="preserve">　農用地の持続的発展を図り、営農に適した良好な状態で確保することが必</w:t>
      </w:r>
    </w:p>
    <w:p w:rsidR="003661EB" w:rsidRDefault="00E41C6F" w:rsidP="003661EB">
      <w:pPr>
        <w:ind w:leftChars="229" w:left="481" w:firstLineChars="200" w:firstLine="480"/>
        <w:rPr>
          <w:sz w:val="24"/>
          <w:szCs w:val="24"/>
        </w:rPr>
      </w:pPr>
      <w:r>
        <w:rPr>
          <w:rFonts w:hint="eastAsia"/>
          <w:sz w:val="24"/>
          <w:szCs w:val="24"/>
        </w:rPr>
        <w:t>要である。</w:t>
      </w:r>
    </w:p>
    <w:p w:rsidR="003661EB" w:rsidRPr="003661EB" w:rsidRDefault="00E41C6F" w:rsidP="003661EB">
      <w:pPr>
        <w:pStyle w:val="a3"/>
        <w:numPr>
          <w:ilvl w:val="0"/>
          <w:numId w:val="3"/>
        </w:numPr>
        <w:ind w:leftChars="0"/>
        <w:rPr>
          <w:sz w:val="24"/>
          <w:szCs w:val="24"/>
        </w:rPr>
      </w:pPr>
      <w:r w:rsidRPr="003661EB">
        <w:rPr>
          <w:rFonts w:hint="eastAsia"/>
          <w:sz w:val="24"/>
          <w:szCs w:val="24"/>
        </w:rPr>
        <w:t>目標</w:t>
      </w:r>
    </w:p>
    <w:p w:rsidR="00823127" w:rsidRDefault="00E41C6F" w:rsidP="00823127">
      <w:pPr>
        <w:pStyle w:val="a3"/>
        <w:numPr>
          <w:ilvl w:val="0"/>
          <w:numId w:val="4"/>
        </w:numPr>
        <w:ind w:leftChars="0"/>
        <w:rPr>
          <w:sz w:val="24"/>
          <w:szCs w:val="24"/>
        </w:rPr>
      </w:pPr>
      <w:r w:rsidRPr="00823127">
        <w:rPr>
          <w:rFonts w:hint="eastAsia"/>
          <w:sz w:val="24"/>
          <w:szCs w:val="24"/>
        </w:rPr>
        <w:t>を踏まえて、本地域では、法第３条第３項第１号に掲げる事業を推</w:t>
      </w:r>
    </w:p>
    <w:p w:rsidR="003661EB" w:rsidRDefault="00E41C6F" w:rsidP="00823127">
      <w:pPr>
        <w:ind w:firstLineChars="400" w:firstLine="960"/>
        <w:rPr>
          <w:sz w:val="24"/>
          <w:szCs w:val="24"/>
        </w:rPr>
      </w:pPr>
      <w:r w:rsidRPr="00823127">
        <w:rPr>
          <w:rFonts w:hint="eastAsia"/>
          <w:sz w:val="24"/>
          <w:szCs w:val="24"/>
        </w:rPr>
        <w:t>進することにより、多面的機能の発揮の促進を図ることとする。</w:t>
      </w:r>
    </w:p>
    <w:p w:rsidR="00B2522D" w:rsidRDefault="00B2522D" w:rsidP="00B2522D">
      <w:pPr>
        <w:rPr>
          <w:sz w:val="24"/>
          <w:szCs w:val="24"/>
        </w:rPr>
      </w:pPr>
    </w:p>
    <w:p w:rsidR="00B2522D" w:rsidRPr="00B2522D" w:rsidRDefault="00E41C6F" w:rsidP="00B2522D">
      <w:pPr>
        <w:ind w:left="241" w:hangingChars="100" w:hanging="241"/>
        <w:rPr>
          <w:rFonts w:asciiTheme="majorEastAsia" w:eastAsiaTheme="majorEastAsia" w:hAnsiTheme="majorEastAsia"/>
          <w:b/>
          <w:sz w:val="24"/>
          <w:szCs w:val="24"/>
          <w:u w:val="single"/>
        </w:rPr>
      </w:pPr>
      <w:r w:rsidRPr="00B2522D">
        <w:rPr>
          <w:rFonts w:asciiTheme="majorEastAsia" w:eastAsiaTheme="majorEastAsia" w:hAnsiTheme="majorEastAsia" w:hint="eastAsia"/>
          <w:b/>
          <w:sz w:val="24"/>
          <w:szCs w:val="24"/>
          <w:u w:val="single"/>
        </w:rPr>
        <w:t>３　法第６条第２項第１号の区域内においてその実施を推進する多面的機能発揮促進事業に関する事項</w:t>
      </w:r>
    </w:p>
    <w:p w:rsidR="00B2522D" w:rsidRPr="00823127" w:rsidRDefault="00B2522D" w:rsidP="00F44D14">
      <w:pPr>
        <w:rPr>
          <w:sz w:val="24"/>
          <w:szCs w:val="24"/>
        </w:rPr>
      </w:pPr>
    </w:p>
    <w:tbl>
      <w:tblPr>
        <w:tblStyle w:val="a4"/>
        <w:tblW w:w="9613" w:type="dxa"/>
        <w:tblInd w:w="240" w:type="dxa"/>
        <w:tblLook w:val="04A0" w:firstRow="1" w:lastRow="0" w:firstColumn="1" w:lastColumn="0" w:noHBand="0" w:noVBand="1"/>
      </w:tblPr>
      <w:tblGrid>
        <w:gridCol w:w="1144"/>
        <w:gridCol w:w="3119"/>
        <w:gridCol w:w="5350"/>
      </w:tblGrid>
      <w:tr w:rsidR="00A61D5D" w:rsidTr="00103281">
        <w:trPr>
          <w:trHeight w:val="553"/>
        </w:trPr>
        <w:tc>
          <w:tcPr>
            <w:tcW w:w="1144" w:type="dxa"/>
            <w:vAlign w:val="center"/>
          </w:tcPr>
          <w:p w:rsidR="00B2522D" w:rsidRDefault="00B2522D" w:rsidP="00B2522D">
            <w:pPr>
              <w:jc w:val="center"/>
              <w:rPr>
                <w:sz w:val="24"/>
                <w:szCs w:val="24"/>
              </w:rPr>
            </w:pPr>
          </w:p>
        </w:tc>
        <w:tc>
          <w:tcPr>
            <w:tcW w:w="3119" w:type="dxa"/>
            <w:vAlign w:val="center"/>
          </w:tcPr>
          <w:p w:rsidR="00B2522D" w:rsidRPr="00B2522D" w:rsidRDefault="00E41C6F" w:rsidP="00B2522D">
            <w:pPr>
              <w:jc w:val="center"/>
              <w:rPr>
                <w:rFonts w:asciiTheme="majorEastAsia" w:eastAsiaTheme="majorEastAsia" w:hAnsiTheme="majorEastAsia"/>
                <w:b/>
                <w:sz w:val="24"/>
                <w:szCs w:val="24"/>
              </w:rPr>
            </w:pPr>
            <w:r w:rsidRPr="00B2522D">
              <w:rPr>
                <w:rFonts w:asciiTheme="majorEastAsia" w:eastAsiaTheme="majorEastAsia" w:hAnsiTheme="majorEastAsia" w:hint="eastAsia"/>
                <w:b/>
                <w:sz w:val="24"/>
                <w:szCs w:val="24"/>
              </w:rPr>
              <w:t>実施を推進する区域</w:t>
            </w:r>
          </w:p>
        </w:tc>
        <w:tc>
          <w:tcPr>
            <w:tcW w:w="5350" w:type="dxa"/>
            <w:vAlign w:val="center"/>
          </w:tcPr>
          <w:p w:rsidR="00B2522D" w:rsidRPr="00B2522D" w:rsidRDefault="00E41C6F" w:rsidP="00B2522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実施を推進する事業</w:t>
            </w:r>
          </w:p>
        </w:tc>
      </w:tr>
      <w:tr w:rsidR="00A61D5D" w:rsidTr="00407296">
        <w:trPr>
          <w:trHeight w:val="1100"/>
        </w:trPr>
        <w:tc>
          <w:tcPr>
            <w:tcW w:w="1144" w:type="dxa"/>
            <w:vAlign w:val="center"/>
          </w:tcPr>
          <w:p w:rsidR="0090693B" w:rsidRDefault="0090693B" w:rsidP="00103281">
            <w:pPr>
              <w:jc w:val="center"/>
              <w:rPr>
                <w:rFonts w:asciiTheme="majorEastAsia" w:eastAsiaTheme="majorEastAsia" w:hAnsiTheme="majorEastAsia"/>
                <w:b/>
                <w:sz w:val="24"/>
                <w:szCs w:val="24"/>
              </w:rPr>
            </w:pPr>
          </w:p>
          <w:p w:rsidR="0090693B" w:rsidRPr="00103281" w:rsidRDefault="00E41C6F" w:rsidP="0010328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①</w:t>
            </w:r>
          </w:p>
          <w:p w:rsidR="0090693B" w:rsidRPr="00103281" w:rsidRDefault="0090693B" w:rsidP="0090693B">
            <w:pPr>
              <w:rPr>
                <w:rFonts w:asciiTheme="majorEastAsia" w:eastAsiaTheme="majorEastAsia" w:hAnsiTheme="majorEastAsia"/>
                <w:b/>
                <w:sz w:val="24"/>
                <w:szCs w:val="24"/>
              </w:rPr>
            </w:pPr>
          </w:p>
        </w:tc>
        <w:tc>
          <w:tcPr>
            <w:tcW w:w="3119" w:type="dxa"/>
            <w:vAlign w:val="center"/>
          </w:tcPr>
          <w:p w:rsidR="0090693B" w:rsidRDefault="00E41C6F" w:rsidP="00310450">
            <w:pPr>
              <w:jc w:val="center"/>
              <w:rPr>
                <w:sz w:val="24"/>
                <w:szCs w:val="24"/>
              </w:rPr>
            </w:pPr>
            <w:r>
              <w:rPr>
                <w:rFonts w:hint="eastAsia"/>
                <w:sz w:val="24"/>
                <w:szCs w:val="24"/>
              </w:rPr>
              <w:t>川島町区域</w:t>
            </w:r>
          </w:p>
        </w:tc>
        <w:tc>
          <w:tcPr>
            <w:tcW w:w="5350" w:type="dxa"/>
            <w:vAlign w:val="center"/>
          </w:tcPr>
          <w:p w:rsidR="0090693B" w:rsidRDefault="00E41C6F" w:rsidP="00B2522D">
            <w:pPr>
              <w:jc w:val="center"/>
              <w:rPr>
                <w:sz w:val="24"/>
                <w:szCs w:val="24"/>
              </w:rPr>
            </w:pPr>
            <w:r>
              <w:rPr>
                <w:rFonts w:hint="eastAsia"/>
                <w:sz w:val="24"/>
                <w:szCs w:val="24"/>
              </w:rPr>
              <w:t>法第３条第３項第１号に掲げる事業</w:t>
            </w:r>
          </w:p>
        </w:tc>
      </w:tr>
    </w:tbl>
    <w:p w:rsidR="00B2522D" w:rsidRDefault="00B2522D" w:rsidP="00B2522D">
      <w:pPr>
        <w:ind w:left="240" w:hangingChars="100" w:hanging="240"/>
        <w:rPr>
          <w:sz w:val="24"/>
          <w:szCs w:val="24"/>
        </w:rPr>
      </w:pPr>
    </w:p>
    <w:p w:rsidR="00A45D4E" w:rsidRDefault="00E41C6F" w:rsidP="00A45D4E">
      <w:pPr>
        <w:ind w:left="241" w:hangingChars="100" w:hanging="241"/>
        <w:rPr>
          <w:rFonts w:asciiTheme="majorEastAsia" w:eastAsiaTheme="majorEastAsia" w:hAnsiTheme="majorEastAsia"/>
          <w:b/>
          <w:sz w:val="24"/>
          <w:szCs w:val="24"/>
          <w:u w:val="single"/>
        </w:rPr>
      </w:pPr>
      <w:r w:rsidRPr="00A45D4E">
        <w:rPr>
          <w:rFonts w:asciiTheme="majorEastAsia" w:eastAsiaTheme="majorEastAsia" w:hAnsiTheme="majorEastAsia" w:hint="eastAsia"/>
          <w:b/>
          <w:sz w:val="24"/>
          <w:szCs w:val="24"/>
          <w:u w:val="single"/>
        </w:rPr>
        <w:t>４　法第６条第２項第１号の区域内において得に重点的に多面的機能発揮促進事業の実施を推進する区域を定める場合にあってはその区域</w:t>
      </w:r>
    </w:p>
    <w:p w:rsidR="00A45D4E" w:rsidRDefault="00E41C6F" w:rsidP="00A45D4E">
      <w:pPr>
        <w:ind w:left="240" w:hangingChars="100" w:hanging="240"/>
        <w:rPr>
          <w:rFonts w:asciiTheme="minorEastAsia" w:hAnsiTheme="minorEastAsia"/>
          <w:sz w:val="24"/>
          <w:szCs w:val="24"/>
        </w:rPr>
      </w:pPr>
      <w:r>
        <w:rPr>
          <w:rFonts w:asciiTheme="minorEastAsia" w:hAnsiTheme="minorEastAsia" w:hint="eastAsia"/>
          <w:sz w:val="24"/>
          <w:szCs w:val="24"/>
        </w:rPr>
        <w:t xml:space="preserve">　　設定しない。</w:t>
      </w:r>
    </w:p>
    <w:p w:rsidR="008E5978" w:rsidRDefault="008E5978" w:rsidP="00A45D4E">
      <w:pPr>
        <w:ind w:left="240" w:hangingChars="100" w:hanging="240"/>
        <w:rPr>
          <w:rFonts w:asciiTheme="minorEastAsia" w:hAnsiTheme="minorEastAsia"/>
          <w:sz w:val="24"/>
          <w:szCs w:val="24"/>
        </w:rPr>
      </w:pPr>
    </w:p>
    <w:p w:rsidR="00F44D14" w:rsidRDefault="00E41C6F" w:rsidP="00F44D14">
      <w:pPr>
        <w:ind w:left="241" w:hangingChars="100" w:hanging="241"/>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５　その他促進計画の実施に関し市町村が必要と認める事項</w:t>
      </w:r>
    </w:p>
    <w:p w:rsidR="00F44D14" w:rsidRPr="00F44D14" w:rsidRDefault="00E41C6F" w:rsidP="00F44D14">
      <w:pPr>
        <w:ind w:left="240" w:hangingChars="100" w:hanging="240"/>
        <w:rPr>
          <w:rFonts w:asciiTheme="minorEastAsia" w:hAnsiTheme="minorEastAsia"/>
          <w:sz w:val="24"/>
          <w:szCs w:val="24"/>
        </w:rPr>
      </w:pPr>
      <w:r>
        <w:rPr>
          <w:rFonts w:asciiTheme="minorEastAsia" w:hAnsiTheme="minorEastAsia" w:hint="eastAsia"/>
          <w:sz w:val="24"/>
          <w:szCs w:val="24"/>
        </w:rPr>
        <w:t xml:space="preserve">　　特になし。</w:t>
      </w:r>
    </w:p>
    <w:sectPr w:rsidR="00F44D14" w:rsidRPr="00F44D14" w:rsidSect="00FC2977">
      <w:pgSz w:w="11906" w:h="16838" w:code="9"/>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00E5"/>
    <w:multiLevelType w:val="hybridMultilevel"/>
    <w:tmpl w:val="313895A0"/>
    <w:lvl w:ilvl="0" w:tplc="C2969140">
      <w:start w:val="1"/>
      <w:numFmt w:val="decimalFullWidth"/>
      <w:lvlText w:val="（%1）"/>
      <w:lvlJc w:val="left"/>
      <w:pPr>
        <w:ind w:left="1200" w:hanging="720"/>
      </w:pPr>
      <w:rPr>
        <w:rFonts w:hint="default"/>
      </w:rPr>
    </w:lvl>
    <w:lvl w:ilvl="1" w:tplc="C9541556">
      <w:start w:val="1"/>
      <w:numFmt w:val="decimalEnclosedCircle"/>
      <w:lvlText w:val="%2"/>
      <w:lvlJc w:val="left"/>
      <w:pPr>
        <w:ind w:left="1260" w:hanging="360"/>
      </w:pPr>
      <w:rPr>
        <w:rFonts w:hint="default"/>
      </w:rPr>
    </w:lvl>
    <w:lvl w:ilvl="2" w:tplc="F416AD38" w:tentative="1">
      <w:start w:val="1"/>
      <w:numFmt w:val="decimalEnclosedCircle"/>
      <w:lvlText w:val="%3"/>
      <w:lvlJc w:val="left"/>
      <w:pPr>
        <w:ind w:left="1740" w:hanging="420"/>
      </w:pPr>
    </w:lvl>
    <w:lvl w:ilvl="3" w:tplc="D2B2B55E" w:tentative="1">
      <w:start w:val="1"/>
      <w:numFmt w:val="decimal"/>
      <w:lvlText w:val="%4."/>
      <w:lvlJc w:val="left"/>
      <w:pPr>
        <w:ind w:left="2160" w:hanging="420"/>
      </w:pPr>
    </w:lvl>
    <w:lvl w:ilvl="4" w:tplc="69B011C0" w:tentative="1">
      <w:start w:val="1"/>
      <w:numFmt w:val="aiueoFullWidth"/>
      <w:lvlText w:val="(%5)"/>
      <w:lvlJc w:val="left"/>
      <w:pPr>
        <w:ind w:left="2580" w:hanging="420"/>
      </w:pPr>
    </w:lvl>
    <w:lvl w:ilvl="5" w:tplc="4A46B548" w:tentative="1">
      <w:start w:val="1"/>
      <w:numFmt w:val="decimalEnclosedCircle"/>
      <w:lvlText w:val="%6"/>
      <w:lvlJc w:val="left"/>
      <w:pPr>
        <w:ind w:left="3000" w:hanging="420"/>
      </w:pPr>
    </w:lvl>
    <w:lvl w:ilvl="6" w:tplc="3B489948" w:tentative="1">
      <w:start w:val="1"/>
      <w:numFmt w:val="decimal"/>
      <w:lvlText w:val="%7."/>
      <w:lvlJc w:val="left"/>
      <w:pPr>
        <w:ind w:left="3420" w:hanging="420"/>
      </w:pPr>
    </w:lvl>
    <w:lvl w:ilvl="7" w:tplc="0FBE5070" w:tentative="1">
      <w:start w:val="1"/>
      <w:numFmt w:val="aiueoFullWidth"/>
      <w:lvlText w:val="(%8)"/>
      <w:lvlJc w:val="left"/>
      <w:pPr>
        <w:ind w:left="3840" w:hanging="420"/>
      </w:pPr>
    </w:lvl>
    <w:lvl w:ilvl="8" w:tplc="2EBC573A" w:tentative="1">
      <w:start w:val="1"/>
      <w:numFmt w:val="decimalEnclosedCircle"/>
      <w:lvlText w:val="%9"/>
      <w:lvlJc w:val="left"/>
      <w:pPr>
        <w:ind w:left="4260" w:hanging="420"/>
      </w:pPr>
    </w:lvl>
  </w:abstractNum>
  <w:abstractNum w:abstractNumId="1" w15:restartNumberingAfterBreak="0">
    <w:nsid w:val="2BFC271C"/>
    <w:multiLevelType w:val="hybridMultilevel"/>
    <w:tmpl w:val="BAEEE644"/>
    <w:lvl w:ilvl="0" w:tplc="73226E5E">
      <w:start w:val="1"/>
      <w:numFmt w:val="decimalFullWidth"/>
      <w:lvlText w:val="%1．"/>
      <w:lvlJc w:val="left"/>
      <w:pPr>
        <w:ind w:left="960" w:hanging="720"/>
      </w:pPr>
      <w:rPr>
        <w:rFonts w:hint="default"/>
      </w:rPr>
    </w:lvl>
    <w:lvl w:ilvl="1" w:tplc="AC54B5D8" w:tentative="1">
      <w:start w:val="1"/>
      <w:numFmt w:val="aiueoFullWidth"/>
      <w:lvlText w:val="(%2)"/>
      <w:lvlJc w:val="left"/>
      <w:pPr>
        <w:ind w:left="1080" w:hanging="420"/>
      </w:pPr>
    </w:lvl>
    <w:lvl w:ilvl="2" w:tplc="9FB209DE" w:tentative="1">
      <w:start w:val="1"/>
      <w:numFmt w:val="decimalEnclosedCircle"/>
      <w:lvlText w:val="%3"/>
      <w:lvlJc w:val="left"/>
      <w:pPr>
        <w:ind w:left="1500" w:hanging="420"/>
      </w:pPr>
    </w:lvl>
    <w:lvl w:ilvl="3" w:tplc="D258113C" w:tentative="1">
      <w:start w:val="1"/>
      <w:numFmt w:val="decimal"/>
      <w:lvlText w:val="%4."/>
      <w:lvlJc w:val="left"/>
      <w:pPr>
        <w:ind w:left="1920" w:hanging="420"/>
      </w:pPr>
    </w:lvl>
    <w:lvl w:ilvl="4" w:tplc="8222BB30" w:tentative="1">
      <w:start w:val="1"/>
      <w:numFmt w:val="aiueoFullWidth"/>
      <w:lvlText w:val="(%5)"/>
      <w:lvlJc w:val="left"/>
      <w:pPr>
        <w:ind w:left="2340" w:hanging="420"/>
      </w:pPr>
    </w:lvl>
    <w:lvl w:ilvl="5" w:tplc="D9E60C4C" w:tentative="1">
      <w:start w:val="1"/>
      <w:numFmt w:val="decimalEnclosedCircle"/>
      <w:lvlText w:val="%6"/>
      <w:lvlJc w:val="left"/>
      <w:pPr>
        <w:ind w:left="2760" w:hanging="420"/>
      </w:pPr>
    </w:lvl>
    <w:lvl w:ilvl="6" w:tplc="42E83112" w:tentative="1">
      <w:start w:val="1"/>
      <w:numFmt w:val="decimal"/>
      <w:lvlText w:val="%7."/>
      <w:lvlJc w:val="left"/>
      <w:pPr>
        <w:ind w:left="3180" w:hanging="420"/>
      </w:pPr>
    </w:lvl>
    <w:lvl w:ilvl="7" w:tplc="EA68426E" w:tentative="1">
      <w:start w:val="1"/>
      <w:numFmt w:val="aiueoFullWidth"/>
      <w:lvlText w:val="(%8)"/>
      <w:lvlJc w:val="left"/>
      <w:pPr>
        <w:ind w:left="3600" w:hanging="420"/>
      </w:pPr>
    </w:lvl>
    <w:lvl w:ilvl="8" w:tplc="C8585738" w:tentative="1">
      <w:start w:val="1"/>
      <w:numFmt w:val="decimalEnclosedCircle"/>
      <w:lvlText w:val="%9"/>
      <w:lvlJc w:val="left"/>
      <w:pPr>
        <w:ind w:left="4020" w:hanging="420"/>
      </w:pPr>
    </w:lvl>
  </w:abstractNum>
  <w:abstractNum w:abstractNumId="2" w15:restartNumberingAfterBreak="0">
    <w:nsid w:val="454357D4"/>
    <w:multiLevelType w:val="hybridMultilevel"/>
    <w:tmpl w:val="0582B852"/>
    <w:lvl w:ilvl="0" w:tplc="B30ED28A">
      <w:start w:val="1"/>
      <w:numFmt w:val="decimalFullWidth"/>
      <w:lvlText w:val="（%1）"/>
      <w:lvlJc w:val="left"/>
      <w:pPr>
        <w:ind w:left="1920" w:hanging="720"/>
      </w:pPr>
      <w:rPr>
        <w:rFonts w:hint="default"/>
      </w:rPr>
    </w:lvl>
    <w:lvl w:ilvl="1" w:tplc="B55E82A8" w:tentative="1">
      <w:start w:val="1"/>
      <w:numFmt w:val="aiueoFullWidth"/>
      <w:lvlText w:val="(%2)"/>
      <w:lvlJc w:val="left"/>
      <w:pPr>
        <w:ind w:left="2040" w:hanging="420"/>
      </w:pPr>
    </w:lvl>
    <w:lvl w:ilvl="2" w:tplc="F7B46C5A" w:tentative="1">
      <w:start w:val="1"/>
      <w:numFmt w:val="decimalEnclosedCircle"/>
      <w:lvlText w:val="%3"/>
      <w:lvlJc w:val="left"/>
      <w:pPr>
        <w:ind w:left="2460" w:hanging="420"/>
      </w:pPr>
    </w:lvl>
    <w:lvl w:ilvl="3" w:tplc="26A296C2" w:tentative="1">
      <w:start w:val="1"/>
      <w:numFmt w:val="decimal"/>
      <w:lvlText w:val="%4."/>
      <w:lvlJc w:val="left"/>
      <w:pPr>
        <w:ind w:left="2880" w:hanging="420"/>
      </w:pPr>
    </w:lvl>
    <w:lvl w:ilvl="4" w:tplc="24182050" w:tentative="1">
      <w:start w:val="1"/>
      <w:numFmt w:val="aiueoFullWidth"/>
      <w:lvlText w:val="(%5)"/>
      <w:lvlJc w:val="left"/>
      <w:pPr>
        <w:ind w:left="3300" w:hanging="420"/>
      </w:pPr>
    </w:lvl>
    <w:lvl w:ilvl="5" w:tplc="11BCA432" w:tentative="1">
      <w:start w:val="1"/>
      <w:numFmt w:val="decimalEnclosedCircle"/>
      <w:lvlText w:val="%6"/>
      <w:lvlJc w:val="left"/>
      <w:pPr>
        <w:ind w:left="3720" w:hanging="420"/>
      </w:pPr>
    </w:lvl>
    <w:lvl w:ilvl="6" w:tplc="A05EC4F6" w:tentative="1">
      <w:start w:val="1"/>
      <w:numFmt w:val="decimal"/>
      <w:lvlText w:val="%7."/>
      <w:lvlJc w:val="left"/>
      <w:pPr>
        <w:ind w:left="4140" w:hanging="420"/>
      </w:pPr>
    </w:lvl>
    <w:lvl w:ilvl="7" w:tplc="8638B3CC" w:tentative="1">
      <w:start w:val="1"/>
      <w:numFmt w:val="aiueoFullWidth"/>
      <w:lvlText w:val="(%8)"/>
      <w:lvlJc w:val="left"/>
      <w:pPr>
        <w:ind w:left="4560" w:hanging="420"/>
      </w:pPr>
    </w:lvl>
    <w:lvl w:ilvl="8" w:tplc="1C320EA2" w:tentative="1">
      <w:start w:val="1"/>
      <w:numFmt w:val="decimalEnclosedCircle"/>
      <w:lvlText w:val="%9"/>
      <w:lvlJc w:val="left"/>
      <w:pPr>
        <w:ind w:left="4980" w:hanging="420"/>
      </w:pPr>
    </w:lvl>
  </w:abstractNum>
  <w:abstractNum w:abstractNumId="3" w15:restartNumberingAfterBreak="0">
    <w:nsid w:val="6EE10C9E"/>
    <w:multiLevelType w:val="hybridMultilevel"/>
    <w:tmpl w:val="67DCE3A2"/>
    <w:lvl w:ilvl="0" w:tplc="E3D87286">
      <w:start w:val="1"/>
      <w:numFmt w:val="decimalFullWidth"/>
      <w:lvlText w:val="%1．"/>
      <w:lvlJc w:val="left"/>
      <w:pPr>
        <w:ind w:left="960" w:hanging="720"/>
      </w:pPr>
      <w:rPr>
        <w:rFonts w:hint="default"/>
      </w:rPr>
    </w:lvl>
    <w:lvl w:ilvl="1" w:tplc="18C252DA" w:tentative="1">
      <w:start w:val="1"/>
      <w:numFmt w:val="aiueoFullWidth"/>
      <w:lvlText w:val="(%2)"/>
      <w:lvlJc w:val="left"/>
      <w:pPr>
        <w:ind w:left="1080" w:hanging="420"/>
      </w:pPr>
    </w:lvl>
    <w:lvl w:ilvl="2" w:tplc="075A744A" w:tentative="1">
      <w:start w:val="1"/>
      <w:numFmt w:val="decimalEnclosedCircle"/>
      <w:lvlText w:val="%3"/>
      <w:lvlJc w:val="left"/>
      <w:pPr>
        <w:ind w:left="1500" w:hanging="420"/>
      </w:pPr>
    </w:lvl>
    <w:lvl w:ilvl="3" w:tplc="A94E90C0" w:tentative="1">
      <w:start w:val="1"/>
      <w:numFmt w:val="decimal"/>
      <w:lvlText w:val="%4."/>
      <w:lvlJc w:val="left"/>
      <w:pPr>
        <w:ind w:left="1920" w:hanging="420"/>
      </w:pPr>
    </w:lvl>
    <w:lvl w:ilvl="4" w:tplc="8D50CAE2" w:tentative="1">
      <w:start w:val="1"/>
      <w:numFmt w:val="aiueoFullWidth"/>
      <w:lvlText w:val="(%5)"/>
      <w:lvlJc w:val="left"/>
      <w:pPr>
        <w:ind w:left="2340" w:hanging="420"/>
      </w:pPr>
    </w:lvl>
    <w:lvl w:ilvl="5" w:tplc="F244D57E" w:tentative="1">
      <w:start w:val="1"/>
      <w:numFmt w:val="decimalEnclosedCircle"/>
      <w:lvlText w:val="%6"/>
      <w:lvlJc w:val="left"/>
      <w:pPr>
        <w:ind w:left="2760" w:hanging="420"/>
      </w:pPr>
    </w:lvl>
    <w:lvl w:ilvl="6" w:tplc="04ACAD20" w:tentative="1">
      <w:start w:val="1"/>
      <w:numFmt w:val="decimal"/>
      <w:lvlText w:val="%7."/>
      <w:lvlJc w:val="left"/>
      <w:pPr>
        <w:ind w:left="3180" w:hanging="420"/>
      </w:pPr>
    </w:lvl>
    <w:lvl w:ilvl="7" w:tplc="1764BE2C" w:tentative="1">
      <w:start w:val="1"/>
      <w:numFmt w:val="aiueoFullWidth"/>
      <w:lvlText w:val="(%8)"/>
      <w:lvlJc w:val="left"/>
      <w:pPr>
        <w:ind w:left="3600" w:hanging="420"/>
      </w:pPr>
    </w:lvl>
    <w:lvl w:ilvl="8" w:tplc="475ACD32" w:tentative="1">
      <w:start w:val="1"/>
      <w:numFmt w:val="decimalEnclosedCircle"/>
      <w:lvlText w:val="%9"/>
      <w:lvlJc w:val="left"/>
      <w:pPr>
        <w:ind w:left="40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77"/>
    <w:rsid w:val="00103281"/>
    <w:rsid w:val="00121D14"/>
    <w:rsid w:val="00310450"/>
    <w:rsid w:val="00340D7F"/>
    <w:rsid w:val="003661EB"/>
    <w:rsid w:val="005C12F8"/>
    <w:rsid w:val="00612062"/>
    <w:rsid w:val="006F244F"/>
    <w:rsid w:val="0080786E"/>
    <w:rsid w:val="00823127"/>
    <w:rsid w:val="0087187F"/>
    <w:rsid w:val="008E5978"/>
    <w:rsid w:val="0090693B"/>
    <w:rsid w:val="00A45D4E"/>
    <w:rsid w:val="00A53286"/>
    <w:rsid w:val="00A61D5D"/>
    <w:rsid w:val="00AC125B"/>
    <w:rsid w:val="00AF5741"/>
    <w:rsid w:val="00B2522D"/>
    <w:rsid w:val="00E41C6F"/>
    <w:rsid w:val="00EA1FFF"/>
    <w:rsid w:val="00F44D14"/>
    <w:rsid w:val="00FC2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9A4797C-E777-4DE6-AD10-6A46D3DB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FFF"/>
    <w:pPr>
      <w:ind w:leftChars="400" w:left="840"/>
    </w:pPr>
  </w:style>
  <w:style w:type="table" w:styleId="a4">
    <w:name w:val="Table Grid"/>
    <w:basedOn w:val="a1"/>
    <w:uiPriority w:val="59"/>
    <w:rsid w:val="00B2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c:creator>
  <cp:lastModifiedBy>admin</cp:lastModifiedBy>
  <cp:revision>2</cp:revision>
  <cp:lastPrinted>2015-04-10T00:59:00Z</cp:lastPrinted>
  <dcterms:created xsi:type="dcterms:W3CDTF">2021-07-15T02:55:00Z</dcterms:created>
  <dcterms:modified xsi:type="dcterms:W3CDTF">2021-07-15T02:55:00Z</dcterms:modified>
</cp:coreProperties>
</file>